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濉溪县医院硒鼓类耗材采购需求</w:t>
      </w:r>
    </w:p>
    <w:p>
      <w:pPr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一、技术参数要求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1.硒鼓主要参数：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①2612硒鼓：打印页数2000张及以上，打印页数基于ISO/IEC 19752及标准及默认打印浓度设置在A4纸张上打印时。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②388硒鼓：打印页数1500张及以上，打印页数基于ISO/IEC 19752及标准及默认打印浓度设置在A4纸张上打印时。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③2451硒鼓：打印页数12000张及以上，打印页数基于ISO/IEC 19752及标准及默认打印浓度设置在A4纸张上打印时。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2.碳粉主要参数：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①2612配套碳粉：净含量100g及以上，打印页数1500张及以上，打印页数基于ISO/IEC 19752及标准及默认打印浓度设置在A4纸张上打印时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②388配套碳粉：净含量70g及以上，打印页数1200张及以上，打印页数基于ISO/IEC 19752及标准及默认打印浓度设置在A4纸张上打印时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③2451配套碳粉净含量70g及以上，打印页数1200张及以上，打印页数基于ISO/IEC 19752及标准及默认打印浓度设置在A4纸张上打印时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3.碳粉盒主要参数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2451配套碳粉盒：打印页数：2600张及以上注：打印页数基于ISO/IEC 19752及标准及默认打印浓度设置在A4纸张上打印时</w:t>
      </w:r>
    </w:p>
    <w:p>
      <w:pPr>
        <w:jc w:val="both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需提供相关检测单位出具的相应检验项目检测报告（或复印件加盖投标人公章）</w:t>
      </w:r>
    </w:p>
    <w:tbl>
      <w:tblPr>
        <w:tblStyle w:val="2"/>
        <w:tblW w:w="90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780"/>
        <w:gridCol w:w="660"/>
        <w:gridCol w:w="780"/>
        <w:gridCol w:w="1215"/>
        <w:gridCol w:w="1290"/>
        <w:gridCol w:w="1182"/>
        <w:gridCol w:w="14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原采购单价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原采购总价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最低降幅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下浮后预算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硒鼓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280500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2612配套碳粉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80.00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硒鼓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388配套碳粉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硒鼓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239.00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5377.5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2451配套碳粉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LD2020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2451配套碳粉盒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LT2451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239.00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41227.5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286455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①本次招标控制价为：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286455元，超出控制价为废标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②控制价计算公式：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381940*（1-25%）=286455元</w:t>
      </w:r>
    </w:p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③中标单位免费为采购人提供相关型号打印机维修、维护、保养、碳粉安装服务（半小时内响应），如不能现场完成打印机维修，需提供备用机。</w:t>
      </w:r>
    </w:p>
    <w:p>
      <w:pPr>
        <w:rPr>
          <w:rFonts w:hint="default" w:ascii="仿宋_GB2312" w:hAnsi="仿宋_GB2312" w:eastAsia="仿宋_GB2312" w:cs="仿宋_GB2312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cs="仿宋"/>
          <w:b/>
          <w:kern w:val="0"/>
          <w:sz w:val="24"/>
          <w:lang w:val="en-US" w:eastAsia="zh-CN"/>
        </w:rPr>
        <w:t>备注：</w:t>
      </w:r>
      <w:r>
        <w:rPr>
          <w:rFonts w:hint="eastAsia" w:cs="仿宋"/>
          <w:b w:val="0"/>
          <w:bCs/>
          <w:kern w:val="0"/>
          <w:sz w:val="24"/>
          <w:lang w:val="en-US" w:eastAsia="zh-CN"/>
        </w:rPr>
        <w:t>此降幅为采购人要求最低降</w:t>
      </w:r>
      <w:bookmarkStart w:id="0" w:name="_GoBack"/>
      <w:bookmarkEnd w:id="0"/>
      <w:r>
        <w:rPr>
          <w:rFonts w:hint="eastAsia" w:cs="仿宋"/>
          <w:b w:val="0"/>
          <w:bCs/>
          <w:kern w:val="0"/>
          <w:sz w:val="24"/>
          <w:lang w:val="en-US" w:eastAsia="zh-CN"/>
        </w:rPr>
        <w:t>幅标准，投标人报价时不得低于此降幅。</w:t>
      </w: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26D32"/>
    <w:rsid w:val="02DF0E0C"/>
    <w:rsid w:val="11426D32"/>
    <w:rsid w:val="33310E88"/>
    <w:rsid w:val="3D111CF0"/>
    <w:rsid w:val="4B74366B"/>
    <w:rsid w:val="4BA17A7E"/>
    <w:rsid w:val="50BD0738"/>
    <w:rsid w:val="52D42E28"/>
    <w:rsid w:val="69D4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2021-01-06T08:22:00Z</dcterms:created>
  <dc:creator>Syh,</dc:creator>
  <cp:lastModifiedBy>NTKO</cp:lastModifiedBy>
  <dcterms:modified xsi:type="dcterms:W3CDTF">2021-01-20T02:59:46Z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